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9835</w:t>
      </w:r>
    </w:p>
    <w:p>
      <w:pPr>
        <w:pStyle w:val="16"/>
        <w:spacing w:before="120"/>
        <w:ind w:left="0" w:leftChars="0" w:firstLine="0" w:firstLineChars="0"/>
        <w:jc w:val="both"/>
        <w:rPr>
          <w:rFonts w:hint="default" w:ascii="Arial" w:hAnsi="Arial" w:cs="Arial"/>
          <w:sz w:val="24"/>
          <w:szCs w:val="24"/>
        </w:rPr>
      </w:pPr>
      <w:r>
        <w:rPr>
          <w:rFonts w:hint="default" w:ascii="Arial" w:hAnsi="Arial" w:cs="Arial"/>
          <w:sz w:val="24"/>
          <w:szCs w:val="24"/>
        </w:rPr>
        <w:t>Toulouse, France, August 21 – 25, 2023</w:t>
      </w:r>
    </w:p>
    <w:p>
      <w:pPr>
        <w:pStyle w:val="16"/>
        <w:spacing w:before="120"/>
        <w:ind w:left="0" w:leftChars="0" w:firstLine="0" w:firstLineChars="0"/>
        <w:jc w:val="both"/>
        <w:rPr>
          <w:rFonts w:hint="default" w:ascii="Arial" w:hAnsi="Arial" w:cs="Arial"/>
          <w:sz w:val="24"/>
          <w:szCs w:val="24"/>
        </w:rPr>
      </w:pPr>
    </w:p>
    <w:p>
      <w:pPr>
        <w:pStyle w:val="16"/>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Remaining issues on subsequent CPAC</w:t>
      </w:r>
    </w:p>
    <w:p>
      <w:pPr>
        <w:pStyle w:val="16"/>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16"/>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widowControl w:val="0"/>
        <w:spacing w:before="120" w:beforeLines="-2147483648" w:after="0" w:afterLines="-2147483648" w:line="259" w:lineRule="auto"/>
        <w:jc w:val="both"/>
        <w:rPr>
          <w:rFonts w:hint="eastAsia" w:ascii="Times New Roman" w:hAnsi="Times New Roman" w:eastAsia="宋体" w:cs="Times New Roman"/>
          <w:sz w:val="21"/>
          <w:szCs w:val="21"/>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last meeting, RAN2 discussed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subsequent CPAC</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rPr>
        <w:t>and made the following agreements [1]</w:t>
      </w:r>
      <w:r>
        <w:rPr>
          <w:rFonts w:hint="eastAsia" w:ascii="Times New Roman" w:hAnsi="Times New Roman" w:eastAsia="宋体" w:cs="Times New Roman"/>
          <w:sz w:val="20"/>
          <w:szCs w:val="20"/>
        </w:rPr>
        <w:t>:</w:t>
      </w:r>
      <w:r>
        <w:rPr>
          <w:rFonts w:hint="eastAsia" w:ascii="Times New Roman" w:hAnsi="Times New Roman" w:eastAsia="宋体" w:cs="Times New Roman"/>
          <w:sz w:val="21"/>
          <w:szCs w:val="21"/>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For subsequent CPAC it is useful to support use of A3 A5</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GB" w:eastAsia="en-GB" w:bidi="ar-SA"/>
              </w:rPr>
              <w:t>A3</w:t>
            </w:r>
            <w:r>
              <w:rPr>
                <w:rFonts w:ascii="Arial" w:hAnsi="Arial" w:eastAsia="MS Mincho" w:cs="Times New Roman"/>
                <w:b/>
                <w:szCs w:val="24"/>
                <w:highlight w:val="none"/>
                <w:lang w:val="en-US" w:eastAsia="en-GB" w:bidi="ar-SA"/>
              </w:rPr>
              <w:t xml:space="preserve"> A5 is supported with SN-initiated subsequent CPAC</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bCs/>
                <w:szCs w:val="24"/>
                <w:highlight w:val="none"/>
                <w:lang w:val="en-GB" w:eastAsia="en-GB" w:bidi="ar-SA"/>
              </w:rPr>
              <w:t>Proposal 1</w:t>
            </w:r>
            <w:r>
              <w:rPr>
                <w:rFonts w:ascii="Arial" w:hAnsi="Arial" w:eastAsia="MS Mincho" w:cs="Times New Roman"/>
                <w:b/>
                <w:szCs w:val="24"/>
                <w:highlight w:val="none"/>
                <w:lang w:val="en-GB" w:eastAsia="en-GB" w:bidi="ar-SA"/>
              </w:rPr>
              <w:t>: For MN-initiated subsequent CPAC,  MN initially triggers the candidate cell preparation of subsequent CPAC procedure, i.e. MN triggers the procedure as defined in Section 10.5.2 and Section 10.2.2 of TS 37.340 in the endorsed running CR.</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bCs/>
                <w:szCs w:val="24"/>
                <w:highlight w:val="none"/>
                <w:lang w:val="en-GB" w:eastAsia="en-GB" w:bidi="ar-SA"/>
              </w:rPr>
              <w:t>Proposal 2</w:t>
            </w:r>
            <w:r>
              <w:rPr>
                <w:rFonts w:ascii="Arial" w:hAnsi="Arial" w:eastAsia="MS Mincho" w:cs="Times New Roman"/>
                <w:b/>
                <w:szCs w:val="24"/>
                <w:highlight w:val="none"/>
                <w:lang w:val="en-GB" w:eastAsia="en-GB" w:bidi="ar-SA"/>
              </w:rPr>
              <w:t>: For SN-initiated inter-SN subsequent CPAC, SN initially triggers the candidate cell preparation of subsequent CPAC procedure, i.e. source SN triggers the procedure as defined in Section 10.5.2 of TS 37.340 in the endorsed running CR.</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GB" w:eastAsia="en-GB" w:bidi="ar-SA"/>
              </w:rPr>
            </w:pPr>
            <w:r>
              <w:rPr>
                <w:rFonts w:ascii="Arial" w:hAnsi="Arial" w:eastAsia="MS Mincho" w:cs="Times New Roman"/>
                <w:b/>
                <w:bCs/>
                <w:szCs w:val="24"/>
                <w:highlight w:val="none"/>
                <w:lang w:val="en-GB" w:eastAsia="en-GB" w:bidi="ar-SA"/>
              </w:rPr>
              <w:t>Proposal 3 (option2)</w:t>
            </w:r>
            <w:r>
              <w:rPr>
                <w:rFonts w:ascii="Arial" w:hAnsi="Arial" w:eastAsia="MS Mincho" w:cs="Times New Roman"/>
                <w:b/>
                <w:szCs w:val="24"/>
                <w:highlight w:val="none"/>
                <w:lang w:val="en-GB" w:eastAsia="en-GB" w:bidi="ar-SA"/>
              </w:rPr>
              <w:t>: For MN-initiated subsequent CPAC, the execution condition configuration is provided as following:</w:t>
            </w:r>
          </w:p>
          <w:p>
            <w:pPr>
              <w:numPr>
                <w:ilvl w:val="0"/>
                <w:numId w:val="0"/>
              </w:numPr>
              <w:tabs>
                <w:tab w:val="left" w:pos="419"/>
              </w:tabs>
              <w:overflowPunct/>
              <w:autoSpaceDE/>
              <w:autoSpaceDN/>
              <w:adjustRightInd/>
              <w:spacing w:before="60" w:after="0" w:line="240" w:lineRule="auto"/>
              <w:ind w:left="418"/>
              <w:jc w:val="left"/>
              <w:textAlignment w:val="auto"/>
              <w:rPr>
                <w:rFonts w:ascii="Arial" w:hAnsi="Arial" w:eastAsia="MS Mincho" w:cs="Times New Roman"/>
                <w:b/>
                <w:bCs/>
                <w:szCs w:val="24"/>
                <w:highlight w:val="none"/>
                <w:lang w:val="en-GB" w:eastAsia="en-GB" w:bidi="ar-SA"/>
              </w:rPr>
            </w:pPr>
            <w:r>
              <w:rPr>
                <w:rFonts w:ascii="Arial" w:hAnsi="Arial" w:eastAsia="MS Mincho" w:cs="Times New Roman"/>
                <w:b/>
                <w:bCs/>
                <w:szCs w:val="24"/>
                <w:highlight w:val="none"/>
                <w:lang w:val="en-GB" w:eastAsia="en-GB" w:bidi="ar-SA"/>
              </w:rPr>
              <w:t>MN generates the execution conditions (A4 event) for initial CPAC execution, and the measID refers to the measurement configuration associated with MCG;</w:t>
            </w:r>
          </w:p>
          <w:p>
            <w:pPr>
              <w:numPr>
                <w:ilvl w:val="0"/>
                <w:numId w:val="0"/>
              </w:numPr>
              <w:tabs>
                <w:tab w:val="left" w:pos="419"/>
              </w:tabs>
              <w:overflowPunct/>
              <w:autoSpaceDE/>
              <w:autoSpaceDN/>
              <w:adjustRightInd/>
              <w:spacing w:before="60" w:after="0" w:line="240" w:lineRule="auto"/>
              <w:ind w:left="418"/>
              <w:jc w:val="left"/>
              <w:textAlignment w:val="auto"/>
              <w:rPr>
                <w:rFonts w:ascii="Arial" w:hAnsi="Arial" w:eastAsia="MS Mincho" w:cs="Times New Roman"/>
                <w:b/>
                <w:bCs/>
                <w:szCs w:val="24"/>
                <w:highlight w:val="none"/>
                <w:lang w:val="en-GB" w:eastAsia="en-GB" w:bidi="ar-SA"/>
              </w:rPr>
            </w:pPr>
            <w:r>
              <w:rPr>
                <w:rFonts w:ascii="Arial" w:hAnsi="Arial" w:eastAsia="MS Mincho" w:cs="Times New Roman"/>
                <w:b/>
                <w:bCs/>
                <w:szCs w:val="24"/>
                <w:highlight w:val="none"/>
                <w:lang w:val="en-GB" w:eastAsia="en-GB" w:bidi="ar-SA"/>
              </w:rPr>
              <w:t>candidate SN generates the execution conditions (A3/A5 event)  for subsequent CPC execution, and the measID refers to the measurement configuration associated with SCG.</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UE autonomously releases the subsequent CPAC configurations in the following cases: upon RRC re-establishment and RRC release (to RRC_IDLE and/or RRC_INACTIVE)</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xml:space="preserve">No need for an optimized single-indication-release of CPAC configuration. Can rely on explicit release for other cases. </w:t>
            </w:r>
          </w:p>
          <w:p>
            <w:pPr>
              <w:numPr>
                <w:ilvl w:val="0"/>
                <w:numId w:val="8"/>
              </w:numPr>
              <w:tabs>
                <w:tab w:val="left" w:pos="419"/>
              </w:tabs>
              <w:overflowPunct/>
              <w:autoSpaceDE/>
              <w:autoSpaceDN/>
              <w:adjustRightInd/>
              <w:spacing w:before="60" w:after="0" w:line="240" w:lineRule="auto"/>
              <w:ind w:left="58" w:leftChars="29"/>
              <w:jc w:val="left"/>
              <w:textAlignment w:val="auto"/>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Will support the SA3 solution, i.e. update of Sk-counter at inter-SN-mobility, based on pre-configured multiple Sk-counter. UE need to know when Sk counter need to change.</w:t>
            </w:r>
          </w:p>
          <w:p>
            <w:pPr>
              <w:numPr>
                <w:ilvl w:val="0"/>
                <w:numId w:val="8"/>
              </w:numPr>
              <w:tabs>
                <w:tab w:val="left" w:pos="419"/>
              </w:tabs>
              <w:overflowPunct/>
              <w:autoSpaceDE/>
              <w:autoSpaceDN/>
              <w:adjustRightInd/>
              <w:spacing w:before="60" w:after="0" w:line="240" w:lineRule="auto"/>
              <w:ind w:left="58" w:leftChars="29"/>
              <w:jc w:val="left"/>
              <w:textAlignment w:val="auto"/>
            </w:pPr>
            <w:r>
              <w:rPr>
                <w:rFonts w:ascii="Arial" w:hAnsi="Arial" w:eastAsia="MS Mincho" w:cs="Times New Roman"/>
                <w:b/>
                <w:szCs w:val="24"/>
                <w:highlight w:val="none"/>
                <w:lang w:val="en-US" w:eastAsia="en-GB" w:bidi="ar-SA"/>
              </w:rPr>
              <w:t xml:space="preserve">Detailed solution </w:t>
            </w:r>
            <w:r>
              <w:rPr>
                <w:rFonts w:ascii="Arial" w:hAnsi="Arial" w:eastAsia="MS Mincho" w:cs="Times New Roman"/>
                <w:b/>
                <w:szCs w:val="24"/>
                <w:highlight w:val="none"/>
                <w:lang w:val="en-GB" w:eastAsia="en-GB" w:bidi="ar-SA"/>
              </w:rPr>
              <w:t>discussed</w:t>
            </w:r>
            <w:r>
              <w:rPr>
                <w:rFonts w:ascii="Arial" w:hAnsi="Arial" w:eastAsia="MS Mincho" w:cs="Times New Roman"/>
                <w:b/>
                <w:szCs w:val="24"/>
                <w:highlight w:val="none"/>
                <w:lang w:val="en-US" w:eastAsia="en-GB" w:bidi="ar-SA"/>
              </w:rPr>
              <w:t xml:space="preserve"> in long Post-meeting email discussion </w:t>
            </w:r>
          </w:p>
        </w:tc>
      </w:tr>
    </w:tbl>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eastAsia="宋体"/>
          <w:bCs/>
          <w:szCs w:val="21"/>
          <w:lang w:val="en-US" w:eastAsia="zh-CN"/>
        </w:rPr>
        <w:t xml:space="preserve">Besides, some stage-2 open issues and stage-3 security related issues on subsequent CPAC were discussed in the post-meeting email discussion [054] and [046], respectively [2][3]. </w:t>
      </w:r>
      <w:r>
        <w:rPr>
          <w:rFonts w:hint="eastAsia" w:eastAsia="宋体"/>
          <w:bCs/>
          <w:szCs w:val="21"/>
        </w:rPr>
        <w:t xml:space="preserve">In this contribution, we discussed some </w:t>
      </w:r>
      <w:r>
        <w:rPr>
          <w:rFonts w:hint="eastAsia" w:eastAsia="宋体"/>
          <w:bCs/>
          <w:szCs w:val="21"/>
          <w:lang w:val="en-US" w:eastAsia="zh-CN"/>
        </w:rPr>
        <w:t>remaining</w:t>
      </w:r>
      <w:r>
        <w:rPr>
          <w:rFonts w:hint="eastAsia" w:eastAsia="宋体"/>
          <w:bCs/>
          <w:szCs w:val="21"/>
        </w:rPr>
        <w:t xml:space="preserve"> issues on </w:t>
      </w:r>
      <w:r>
        <w:rPr>
          <w:rFonts w:hint="eastAsia" w:eastAsia="宋体"/>
          <w:bCs/>
          <w:szCs w:val="21"/>
          <w:lang w:val="en-US" w:eastAsia="zh-CN"/>
        </w:rPr>
        <w:t>subsequent CPAC</w:t>
      </w:r>
      <w:r>
        <w:rPr>
          <w:rFonts w:hint="eastAsia" w:eastAsia="宋体"/>
          <w:bCs/>
          <w:szCs w:val="21"/>
        </w:rPr>
        <w:t>.</w:t>
      </w:r>
    </w:p>
    <w:p>
      <w:pPr>
        <w:pStyle w:val="2"/>
        <w:spacing w:before="120" w:after="120"/>
        <w:jc w:val="both"/>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Reference and candidate cell configuration</w:t>
      </w:r>
    </w:p>
    <w:p>
      <w:pPr>
        <w:rPr>
          <w:rFonts w:hint="eastAsia" w:eastAsia="宋体"/>
          <w:lang w:val="en-US" w:eastAsia="zh-CN"/>
        </w:rPr>
      </w:pPr>
      <w:r>
        <w:rPr>
          <w:rFonts w:hint="eastAsia" w:eastAsia="宋体"/>
          <w:lang w:val="en-US" w:eastAsia="zh-CN"/>
        </w:rPr>
        <w:t>At post-meeting email discussion [054], companies discussed how to generate the reference configuration for subsequent CPAC. But there are different understanding on whether to have separate reference configuration for SN initiated intra-SN subsequent CPAC and MN/SN initiated inter-SN subsequent CPAC, as below:</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5"/>
              <w:overflowPunct/>
              <w:autoSpaceDE/>
              <w:autoSpaceDN/>
              <w:snapToGrid w:val="0"/>
              <w:spacing w:after="120" w:line="260" w:lineRule="auto"/>
              <w:ind w:left="0" w:firstLine="0"/>
              <w:textAlignment w:val="auto"/>
              <w:rPr>
                <w:rFonts w:ascii="Arial" w:hAnsi="Arial" w:cs="Arial"/>
                <w:b/>
                <w:bCs/>
                <w:color w:val="auto"/>
                <w:lang w:val="en-US"/>
              </w:rPr>
            </w:pPr>
            <w:r>
              <w:rPr>
                <w:rFonts w:ascii="Arial" w:hAnsi="Arial" w:cs="Arial"/>
                <w:b/>
                <w:bCs/>
                <w:color w:val="auto"/>
                <w:lang w:val="en-US"/>
              </w:rPr>
              <w:t xml:space="preserve">Proposal </w:t>
            </w:r>
            <w:r>
              <w:rPr>
                <w:rFonts w:hint="eastAsia" w:ascii="Arial" w:hAnsi="Arial" w:cs="Arial"/>
                <w:b/>
                <w:bCs/>
                <w:color w:val="auto"/>
                <w:lang w:val="en-US"/>
              </w:rPr>
              <w:t>9</w:t>
            </w:r>
            <w:r>
              <w:rPr>
                <w:rFonts w:ascii="Arial" w:hAnsi="Arial" w:cs="Arial"/>
                <w:b/>
                <w:bCs/>
                <w:color w:val="auto"/>
                <w:lang w:val="en-US"/>
              </w:rPr>
              <w:t xml:space="preserve">: </w:t>
            </w:r>
            <w:r>
              <w:rPr>
                <w:rFonts w:hint="eastAsia" w:ascii="Arial" w:hAnsi="Arial" w:cs="Arial"/>
                <w:b/>
                <w:bCs/>
                <w:color w:val="auto"/>
                <w:lang w:val="en-US"/>
              </w:rPr>
              <w:t>Discuss which of the following two understanding is correct:</w:t>
            </w:r>
          </w:p>
          <w:p>
            <w:pPr>
              <w:pStyle w:val="6"/>
              <w:numPr>
                <w:ilvl w:val="1"/>
                <w:numId w:val="9"/>
              </w:numPr>
              <w:snapToGrid w:val="0"/>
              <w:spacing w:line="260" w:lineRule="auto"/>
              <w:rPr>
                <w:rFonts w:cs="Arial"/>
                <w:b/>
                <w:bCs/>
                <w:color w:val="auto"/>
                <w:lang w:val="en-US"/>
              </w:rPr>
            </w:pPr>
            <w:r>
              <w:rPr>
                <w:rFonts w:hint="eastAsia" w:cs="Arial"/>
                <w:b/>
                <w:bCs/>
                <w:color w:val="auto"/>
                <w:lang w:val="en-US"/>
              </w:rPr>
              <w:t>[2/11] Understanding1: There is only one reference configuration for MN/SN initiated inter-SN SCPAC and SN-initiated intra-SN SCPAC.</w:t>
            </w:r>
          </w:p>
          <w:p>
            <w:pPr>
              <w:pStyle w:val="6"/>
              <w:numPr>
                <w:ilvl w:val="1"/>
                <w:numId w:val="9"/>
              </w:numPr>
              <w:snapToGrid w:val="0"/>
              <w:spacing w:line="260" w:lineRule="auto"/>
              <w:rPr>
                <w:rFonts w:hint="default" w:eastAsia="宋体"/>
                <w:vertAlign w:val="baseline"/>
                <w:lang w:val="en-US" w:eastAsia="zh-CN"/>
              </w:rPr>
            </w:pPr>
            <w:r>
              <w:rPr>
                <w:rFonts w:hint="eastAsia" w:cs="Arial"/>
                <w:b/>
                <w:bCs/>
                <w:color w:val="auto"/>
                <w:lang w:val="en-US"/>
              </w:rPr>
              <w:t xml:space="preserve">[7/11] Understanding2: There is only one reference configuration for each scenario, i.e., one reference configuration for MN/SN initiated inter-SN SCPAC and one reference configuration for SN-initiated intra-SN SCPAC. </w:t>
            </w:r>
          </w:p>
        </w:tc>
      </w:tr>
    </w:tbl>
    <w:p>
      <w:pPr>
        <w:rPr>
          <w:rFonts w:hint="eastAsia" w:eastAsia="宋体"/>
          <w:lang w:val="en-US" w:eastAsia="zh-CN"/>
        </w:rPr>
      </w:pPr>
      <w:r>
        <w:rPr>
          <w:rFonts w:hint="eastAsia" w:eastAsia="宋体"/>
          <w:lang w:val="en-US" w:eastAsia="zh-CN"/>
        </w:rPr>
        <w:t>In the current RRC CR, the SN initiated intra-SN SCPAC is configured in SN format and stored in the SCG VarConditionalReconfig, while the MN/SN initiated inter-SN SCPAC is provided in MN format and stored in the MCG VarConditionalReconfig. And most companies agreed that the coexistence of SN initiated intra-SN SCPAC and MN/SN initiate inter-SN SCPAC can be supported from RAN2 perspective.</w:t>
      </w:r>
    </w:p>
    <w:p>
      <w:pPr>
        <w:pStyle w:val="17"/>
        <w:bidi w:val="0"/>
        <w:rPr>
          <w:rFonts w:hint="default"/>
          <w:lang w:val="en-US" w:eastAsia="zh-CN"/>
        </w:rPr>
      </w:pPr>
      <w:r>
        <w:rPr>
          <w:rFonts w:hint="eastAsia"/>
          <w:lang w:val="en-US" w:eastAsia="zh-CN"/>
        </w:rPr>
        <w:t xml:space="preserve">From RAN2 perspective, the intra-SN SCPAC and inter-SN SCPAC can be configured simultaneously. </w:t>
      </w:r>
    </w:p>
    <w:p>
      <w:pPr>
        <w:rPr>
          <w:rFonts w:hint="default" w:eastAsia="宋体"/>
          <w:lang w:val="en-US" w:eastAsia="zh-CN"/>
        </w:rPr>
      </w:pPr>
      <w:r>
        <w:rPr>
          <w:rFonts w:hint="eastAsia" w:eastAsia="宋体"/>
          <w:lang w:val="en-US" w:eastAsia="zh-CN"/>
        </w:rPr>
        <w:t>In principle, the NW can provide separate reference configurations for intra-SN and inter-SN SCPAC configurations. However, if intra-SN and inter-SN SCPAC are configured simultaneously, when the inter-SN SCPAC is executed, the initial intra-SN SCPAC candidates need to be taken as inter-SN SCPAC candidates for the SCPAC execution. Besides, the current UE configuration</w:t>
      </w:r>
      <w:r>
        <w:rPr>
          <w:rFonts w:hint="default" w:eastAsia="宋体"/>
          <w:lang w:val="en-US" w:eastAsia="zh-CN"/>
        </w:rPr>
        <w:t>’</w:t>
      </w:r>
      <w:r>
        <w:rPr>
          <w:rFonts w:hint="eastAsia" w:eastAsia="宋体"/>
          <w:lang w:val="en-US" w:eastAsia="zh-CN"/>
        </w:rPr>
        <w:t xml:space="preserve">s MCG part may be reconfigured due to the inter-SN SCPAC execution, which may cause the MCG-part configuration to mismatch with candidate SCG configurations within the SCG VarConditionalReconfig. In such case, the intra-SN SCPAC in SCG VarConditionalReconfig shall become invalid after the execution of inter-SN SCPAC. </w:t>
      </w:r>
    </w:p>
    <w:p>
      <w:pPr>
        <w:pStyle w:val="17"/>
        <w:bidi w:val="0"/>
        <w:rPr>
          <w:rFonts w:hint="eastAsia"/>
          <w:lang w:val="en-US" w:eastAsia="zh-CN"/>
        </w:rPr>
      </w:pPr>
      <w:r>
        <w:rPr>
          <w:rFonts w:hint="eastAsia"/>
          <w:lang w:val="en-US" w:eastAsia="zh-CN"/>
        </w:rPr>
        <w:t>The type of intra-SN SCPAC candidates and inter-SN SCPAC candidates could be changed due to the SCPAC execution. The execution of inter-SN SCPAC may cause the intra-SN SCPAC configuration in SN format becomes invalid since the the current UE</w:t>
      </w:r>
      <w:r>
        <w:rPr>
          <w:rFonts w:hint="default"/>
          <w:lang w:val="en-US" w:eastAsia="zh-CN"/>
        </w:rPr>
        <w:t>’</w:t>
      </w:r>
      <w:r>
        <w:rPr>
          <w:rFonts w:hint="eastAsia"/>
          <w:lang w:val="en-US" w:eastAsia="zh-CN"/>
        </w:rPr>
        <w:t>s MCG-part configuration may be reconfigured.</w:t>
      </w:r>
    </w:p>
    <w:p>
      <w:pPr>
        <w:rPr>
          <w:rFonts w:hint="default" w:eastAsia="宋体"/>
          <w:lang w:val="en-US" w:eastAsia="zh-CN"/>
        </w:rPr>
      </w:pPr>
      <w:r>
        <w:rPr>
          <w:rFonts w:hint="eastAsia" w:eastAsia="宋体"/>
          <w:lang w:val="en-US" w:eastAsia="zh-CN"/>
        </w:rPr>
        <w:t>So the intra-SN SCPAC may need to be released or modified due to the inter-SN SCPAC execution. It should be noted if the NW wants to modify the intra-SN SCPAC to inter-SN SCPAC, an additional SN modification procedure needs to be initiated towards the source SN after the SCPAC execution. If the intra-SN SCPAC is released after inter-SN SCPAC execution, an additional interaction between the MN and the source SN is also required since the MN has no idea whether the intra-SN SCPAC is configured or not.</w:t>
      </w:r>
    </w:p>
    <w:p>
      <w:pPr>
        <w:pStyle w:val="17"/>
        <w:bidi w:val="0"/>
        <w:rPr>
          <w:rFonts w:hint="default"/>
          <w:lang w:val="en-US" w:eastAsia="zh-CN"/>
        </w:rPr>
      </w:pPr>
      <w:r>
        <w:rPr>
          <w:rFonts w:hint="eastAsia"/>
          <w:lang w:val="en-US" w:eastAsia="zh-CN"/>
        </w:rPr>
        <w:t>The intra-SN SCPAC configuration in SN format needs to be released or modified due to the execution of inter-SN SCPAC. An additional inter-node coordination between the MN and the source SN shall be required for the release or modification.</w:t>
      </w:r>
    </w:p>
    <w:p>
      <w:pPr>
        <w:rPr>
          <w:rFonts w:hint="eastAsia" w:eastAsia="宋体"/>
          <w:lang w:val="en-US" w:eastAsia="zh-CN"/>
        </w:rPr>
      </w:pPr>
      <w:r>
        <w:rPr>
          <w:rFonts w:hint="eastAsia" w:eastAsia="宋体"/>
          <w:lang w:val="en-US" w:eastAsia="zh-CN"/>
        </w:rPr>
        <w:t xml:space="preserve">In order to make full use of the intra-SN SCPAC configuration and avoid the additional inter-node coordination for the release or modification of intra-SN SCPAC, a simple solution is to allow configuring both intra-SN and inter-SN SCPAC in an unified solution, i.e. both in MN format, based on one reference configuration for all provided candidate cells. </w:t>
      </w:r>
    </w:p>
    <w:p>
      <w:pPr>
        <w:pStyle w:val="18"/>
        <w:bidi w:val="0"/>
        <w:rPr>
          <w:rFonts w:hint="default"/>
          <w:lang w:val="en-US" w:eastAsia="zh-CN"/>
        </w:rPr>
      </w:pPr>
      <w:r>
        <w:rPr>
          <w:rFonts w:hint="eastAsia"/>
          <w:lang w:val="en-US" w:eastAsia="zh-CN"/>
        </w:rPr>
        <w:t>O</w:t>
      </w:r>
      <w:r>
        <w:rPr>
          <w:rFonts w:hint="default"/>
          <w:lang w:val="en-US" w:eastAsia="zh-CN"/>
        </w:rPr>
        <w:t xml:space="preserve">nly one reference configuration </w:t>
      </w:r>
      <w:r>
        <w:rPr>
          <w:rFonts w:hint="eastAsia"/>
          <w:lang w:val="en-US" w:eastAsia="zh-CN"/>
        </w:rPr>
        <w:t xml:space="preserve">is supported </w:t>
      </w:r>
      <w:r>
        <w:rPr>
          <w:rFonts w:hint="default"/>
          <w:lang w:val="en-US" w:eastAsia="zh-CN"/>
        </w:rPr>
        <w:t xml:space="preserve">for </w:t>
      </w:r>
      <w:r>
        <w:rPr>
          <w:rFonts w:hint="eastAsia"/>
          <w:lang w:val="en-US" w:eastAsia="zh-CN"/>
        </w:rPr>
        <w:t xml:space="preserve">both </w:t>
      </w:r>
      <w:r>
        <w:rPr>
          <w:rFonts w:hint="default"/>
          <w:lang w:val="en-US" w:eastAsia="zh-CN"/>
        </w:rPr>
        <w:t>MN/SN initiated inter-SN SCPAC and SN-initiated intra-SN SCPAC.</w:t>
      </w:r>
    </w:p>
    <w:p>
      <w:pPr>
        <w:rPr>
          <w:rFonts w:hint="default" w:eastAsia="宋体"/>
          <w:lang w:val="en-US" w:eastAsia="zh-CN"/>
        </w:rPr>
      </w:pPr>
      <w:bookmarkStart w:id="0" w:name="_Toc24792"/>
      <w:bookmarkEnd w:id="0"/>
      <w:bookmarkStart w:id="1" w:name="_Toc6764"/>
      <w:bookmarkEnd w:id="1"/>
      <w:bookmarkStart w:id="2" w:name="_Toc939"/>
      <w:bookmarkEnd w:id="2"/>
      <w:r>
        <w:rPr>
          <w:rFonts w:hint="eastAsia" w:eastAsia="宋体"/>
          <w:lang w:val="en-US" w:eastAsia="zh-CN"/>
        </w:rPr>
        <w:t>When intra-SN SCPAC and inter-SN SCPAC are configured simultaneously, the procedure would be simplified if the NW provides both intra-SN and inter-SN SCPAC configuration in MN format.</w:t>
      </w:r>
    </w:p>
    <w:p>
      <w:pPr>
        <w:pStyle w:val="18"/>
        <w:bidi w:val="0"/>
        <w:rPr>
          <w:rFonts w:hint="default"/>
          <w:lang w:val="en-US" w:eastAsia="zh-CN"/>
        </w:rPr>
      </w:pPr>
      <w:r>
        <w:rPr>
          <w:rFonts w:hint="eastAsia"/>
          <w:lang w:val="en-US" w:eastAsia="zh-CN"/>
        </w:rPr>
        <w:t>RAN2 to support configuring intra-SN SCPAC in MN format, e.g. when intra-SN SCPAC and inter-SN SCPAC are configured simultaneously.</w:t>
      </w:r>
    </w:p>
    <w:p>
      <w:pPr>
        <w:rPr>
          <w:rFonts w:hint="default" w:eastAsia="宋体"/>
          <w:lang w:val="en-US" w:eastAsia="zh-CN"/>
        </w:rPr>
      </w:pPr>
      <w:r>
        <w:rPr>
          <w:rFonts w:hint="eastAsia" w:eastAsia="宋体"/>
          <w:lang w:val="en-US" w:eastAsia="zh-CN"/>
        </w:rPr>
        <w:t>If only intra-SN SCPAC is configured, it</w:t>
      </w:r>
      <w:r>
        <w:rPr>
          <w:rFonts w:hint="default" w:eastAsia="宋体"/>
          <w:lang w:val="en-US" w:eastAsia="zh-CN"/>
        </w:rPr>
        <w:t>’</w:t>
      </w:r>
      <w:r>
        <w:rPr>
          <w:rFonts w:hint="eastAsia" w:eastAsia="宋体"/>
          <w:lang w:val="en-US" w:eastAsia="zh-CN"/>
        </w:rPr>
        <w:t>s feasible and simple to provide the intra-SN SCPAC in SN format, as legacy.</w:t>
      </w:r>
    </w:p>
    <w:p>
      <w:pPr>
        <w:pStyle w:val="18"/>
        <w:bidi w:val="0"/>
        <w:rPr>
          <w:rFonts w:hint="default"/>
          <w:lang w:val="en-US" w:eastAsia="zh-CN"/>
        </w:rPr>
      </w:pPr>
      <w:r>
        <w:rPr>
          <w:rFonts w:hint="eastAsia"/>
          <w:lang w:val="en-US" w:eastAsia="zh-CN"/>
        </w:rPr>
        <w:t>If only intra-SN SCPAC is configured, the intra-SN SCPAC can be configured in SN format.</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Handling on SCG failure</w:t>
      </w:r>
    </w:p>
    <w:p>
      <w:pPr>
        <w:bidi w:val="0"/>
        <w:rPr>
          <w:rFonts w:hint="eastAsia"/>
          <w:lang w:val="en-US" w:eastAsia="zh-CN"/>
        </w:rPr>
      </w:pPr>
      <w:r>
        <w:rPr>
          <w:rFonts w:hint="eastAsia"/>
          <w:lang w:val="en-US" w:eastAsia="zh-CN"/>
        </w:rPr>
        <w:t>In Rel-17 CPAC and Rel-18 SCPAC discussion, some companies proposed to use the stored candidate PSCell configuration for fast SCG failure recovery, like CHO based recovery. Considering that the MCG link still works well upon SCG failure, we see no strong need to enhance the current SCG failure information procedure. Besides, we have not introduced other enhancement on SCG failure handling in Rel-17 CPAC. It would be simpler to reuse the existing SCG failure information procedure even if Rel-18 SCPAC is configured.</w:t>
      </w:r>
    </w:p>
    <w:p>
      <w:pPr>
        <w:pStyle w:val="18"/>
        <w:bidi w:val="0"/>
        <w:rPr>
          <w:rFonts w:hint="default"/>
          <w:lang w:val="en-US" w:eastAsia="zh-CN"/>
        </w:rPr>
      </w:pPr>
      <w:r>
        <w:rPr>
          <w:rFonts w:hint="eastAsia"/>
          <w:lang w:val="en-US" w:eastAsia="zh-CN"/>
        </w:rPr>
        <w:t>Upon SCG failure, the existing SCG failure information procedure shall be initiated even if the SCPAC is configured, i.e. no enhancement on the existing SCG failure handling.</w:t>
      </w:r>
    </w:p>
    <w:p>
      <w:pPr>
        <w:bidi w:val="0"/>
        <w:rPr>
          <w:rFonts w:hint="eastAsia"/>
          <w:lang w:val="en-US" w:eastAsia="zh-CN"/>
        </w:rPr>
      </w:pPr>
      <w:r>
        <w:rPr>
          <w:rFonts w:hint="eastAsia"/>
          <w:lang w:val="en-US" w:eastAsia="zh-CN"/>
        </w:rPr>
        <w:t>In legacy CPAC, upon SCG failure, the UE shall initiate SCG failure information procedure and stop the evaluation on CPAC. Besides, the UE shall not release the stored CPAC configuration upon detection of SCG failure. Accordingly, the same UE behaviour can be followed for SCPAC handling.</w:t>
      </w:r>
    </w:p>
    <w:p>
      <w:pPr>
        <w:pStyle w:val="18"/>
        <w:bidi w:val="0"/>
        <w:rPr>
          <w:rFonts w:hint="eastAsia"/>
          <w:lang w:val="en-US" w:eastAsia="zh-CN"/>
        </w:rPr>
      </w:pPr>
      <w:r>
        <w:rPr>
          <w:rFonts w:hint="eastAsia"/>
          <w:lang w:val="en-US" w:eastAsia="zh-CN"/>
        </w:rPr>
        <w:t>Upon initiating the SCG failure information procedure, the UE shall stop the evaluation for SCPAC but maintain the SCPAC related configuration.</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2.3 Security update</w:t>
      </w:r>
    </w:p>
    <w:p>
      <w:pPr>
        <w:bidi w:val="0"/>
        <w:rPr>
          <w:rFonts w:hint="eastAsia"/>
          <w:lang w:val="en-US" w:eastAsia="zh-CN"/>
        </w:rPr>
      </w:pPr>
      <w:r>
        <w:rPr>
          <w:rFonts w:hint="eastAsia"/>
          <w:lang w:val="en-US" w:eastAsia="zh-CN"/>
        </w:rPr>
        <w:t>At email discussion [046], companies discussed the stage-3 aspects of security key management for subsequent CPAC, based on the solution proposed by SA3. Rapporteur provided a good summary in [3], but there are still some open issues as below:</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jc w:val="both"/>
              <w:rPr>
                <w:rStyle w:val="46"/>
                <w:rFonts w:cs="Arial"/>
                <w:b/>
                <w:bCs/>
                <w:sz w:val="20"/>
              </w:rPr>
            </w:pPr>
            <w:r>
              <w:rPr>
                <w:rStyle w:val="46"/>
                <w:rFonts w:cs="Arial"/>
                <w:b/>
                <w:bCs/>
                <w:sz w:val="20"/>
              </w:rPr>
              <w:t xml:space="preserve">Proposal 2: Common Understanding on SK-Counter maintenance: The List of Group-ID and SK-Counter-values configured by network is maintained at UE after S-CPAC executions and the SK-Counter-Values are also updated after CPAC execution depending on the usage of SK-counter. </w:t>
            </w:r>
            <w:r>
              <w:rPr>
                <w:rStyle w:val="46"/>
                <w:rFonts w:cs="Arial"/>
                <w:b/>
                <w:bCs/>
                <w:sz w:val="20"/>
                <w:highlight w:val="yellow"/>
              </w:rPr>
              <w:t>RAN2 to discuss further how the UE maintains the SK-counter list across cell changes.</w:t>
            </w:r>
          </w:p>
          <w:p>
            <w:pPr>
              <w:jc w:val="both"/>
              <w:rPr>
                <w:rStyle w:val="46"/>
                <w:rFonts w:cs="Arial"/>
                <w:b/>
                <w:bCs/>
                <w:sz w:val="20"/>
              </w:rPr>
            </w:pPr>
            <w:r>
              <w:rPr>
                <w:rStyle w:val="46"/>
                <w:rFonts w:cs="Arial"/>
                <w:b/>
                <w:bCs/>
                <w:sz w:val="20"/>
              </w:rPr>
              <w:t xml:space="preserve">Proposal 3 : </w:t>
            </w:r>
          </w:p>
          <w:p>
            <w:pPr>
              <w:pStyle w:val="24"/>
              <w:numPr>
                <w:ilvl w:val="0"/>
                <w:numId w:val="10"/>
              </w:numPr>
              <w:jc w:val="both"/>
              <w:rPr>
                <w:rStyle w:val="46"/>
                <w:rFonts w:cs="Arial"/>
                <w:b/>
                <w:bCs/>
                <w:sz w:val="20"/>
                <w:lang w:eastAsia="ja-JP"/>
              </w:rPr>
            </w:pPr>
            <w:r>
              <w:rPr>
                <w:rStyle w:val="46"/>
                <w:rFonts w:cs="Arial"/>
                <w:b/>
                <w:bCs/>
                <w:sz w:val="20"/>
                <w:highlight w:val="green"/>
              </w:rPr>
              <w:t>UE need not include the selected SK-counter value in the RRC Reconfiguration message as the selection of SK-counter for Inter-SN cell change follows the defined pattern according to  SA3 solution.</w:t>
            </w:r>
            <w:r>
              <w:rPr>
                <w:rStyle w:val="46"/>
                <w:rFonts w:cs="Arial"/>
                <w:b/>
                <w:bCs/>
                <w:sz w:val="20"/>
              </w:rPr>
              <w:t xml:space="preserve"> </w:t>
            </w:r>
          </w:p>
          <w:p>
            <w:pPr>
              <w:pStyle w:val="24"/>
              <w:numPr>
                <w:ilvl w:val="0"/>
                <w:numId w:val="10"/>
              </w:numPr>
              <w:jc w:val="both"/>
              <w:rPr>
                <w:rStyle w:val="46"/>
                <w:rFonts w:cs="Arial"/>
                <w:b/>
                <w:bCs/>
                <w:sz w:val="20"/>
                <w:highlight w:val="yellow"/>
                <w:lang w:eastAsia="ja-JP"/>
              </w:rPr>
            </w:pPr>
            <w:r>
              <w:rPr>
                <w:rStyle w:val="46"/>
                <w:rFonts w:cs="Arial"/>
                <w:b/>
                <w:bCs/>
                <w:sz w:val="20"/>
                <w:highlight w:val="yellow"/>
              </w:rPr>
              <w:t>RAN2 to discuss the scenarios where the RRC-Reconfiguration message needs to include selected SK-counter value (i.e. mismatch of SK counter at UE and NW). In this case, RAN2 also discusses the NW behavior if the reported SK-counter is a mismatch.</w:t>
            </w:r>
          </w:p>
          <w:p>
            <w:pPr>
              <w:jc w:val="both"/>
              <w:rPr>
                <w:rStyle w:val="46"/>
                <w:rFonts w:cs="Arial"/>
                <w:b/>
                <w:bCs/>
                <w:sz w:val="20"/>
              </w:rPr>
            </w:pPr>
            <w:r>
              <w:rPr>
                <w:rStyle w:val="46"/>
                <w:rFonts w:cs="Arial"/>
                <w:b/>
                <w:bCs/>
                <w:sz w:val="20"/>
              </w:rPr>
              <w:t xml:space="preserve">Proposal 7 : </w:t>
            </w:r>
          </w:p>
          <w:p>
            <w:pPr>
              <w:jc w:val="both"/>
              <w:rPr>
                <w:rFonts w:hint="default"/>
                <w:vertAlign w:val="baseline"/>
                <w:lang w:val="en-US" w:eastAsia="zh-CN"/>
              </w:rPr>
            </w:pPr>
            <w:r>
              <w:rPr>
                <w:rStyle w:val="46"/>
                <w:rFonts w:cs="Arial"/>
                <w:b/>
                <w:bCs/>
                <w:sz w:val="20"/>
                <w:highlight w:val="yellow"/>
              </w:rPr>
              <w:t>RAN2 to discuss the need for defining UE behaviour for the scenario where free SK-counter not available at the time of S-CPAC execution based on contributions in the next meeting.</w:t>
            </w:r>
          </w:p>
        </w:tc>
      </w:tr>
    </w:tbl>
    <w:p>
      <w:pPr>
        <w:bidi w:val="0"/>
        <w:rPr>
          <w:rFonts w:hint="default"/>
          <w:lang w:val="en-US" w:eastAsia="zh-CN"/>
        </w:rPr>
      </w:pPr>
      <w:r>
        <w:rPr>
          <w:rFonts w:hint="eastAsia"/>
          <w:lang w:val="en-US" w:eastAsia="zh-CN"/>
        </w:rPr>
        <w:t xml:space="preserve">From RAN2 perspective, the NW can provide a list of Group-ID and associated sk-counter values to the UE with SCPAC configuration. And the Group-ID is associated with each candidate cell configuration to identify whether the candidate cell belongs to different cell group than the current serving cell. Upon receiving the SCPAC configuration, the UE shall maintain the list of Group-ID and associated sk-counter values in the UE variable. In our understanding, the current UE variable VarConditionalReconfig can be used to maintain the sk-counter configurations along with the subsequent CPAC configuration. Upon inter-SN cell switch, i.e. the Group-ID associated with the target candidate cell different from the current serving cell, the UE shall select the first unused sk-counter from the sk-counter list associated with the target candidate cell to derive the updated security key. Since the used sk-counter can not be used for the subsequent security key update, we think the UE can simply remove this from the stored sk-counter list. Each time if the security key update is required, the UE just selects the first sk-counter from the sk-counter list associated with the Group-ID referring to the target candidate cell. </w:t>
      </w:r>
    </w:p>
    <w:p>
      <w:pPr>
        <w:pStyle w:val="18"/>
        <w:bidi w:val="0"/>
        <w:rPr>
          <w:rFonts w:hint="default"/>
          <w:lang w:val="en-US" w:eastAsia="zh-CN"/>
        </w:rPr>
      </w:pPr>
      <w:r>
        <w:rPr>
          <w:rFonts w:hint="eastAsia"/>
          <w:lang w:val="en-US" w:eastAsia="zh-CN"/>
        </w:rPr>
        <w:t xml:space="preserve">Upon SCPAC execution, if the target candidate PSCell belongs to different cell group than the current serving PSCell, the UE selects the first sk-counter from the sk-counter list associated with the target candidate PSCell to derive the new security key. </w:t>
      </w:r>
    </w:p>
    <w:p>
      <w:pPr>
        <w:pStyle w:val="18"/>
        <w:bidi w:val="0"/>
        <w:rPr>
          <w:rFonts w:hint="default"/>
          <w:lang w:val="en-US" w:eastAsia="zh-CN"/>
        </w:rPr>
      </w:pPr>
      <w:r>
        <w:rPr>
          <w:rFonts w:hint="eastAsia"/>
          <w:lang w:val="en-US" w:eastAsia="zh-CN"/>
        </w:rPr>
        <w:t>The UE removes the selected sk-counter from the corresponding sk-counter list after generation of the new security key.</w:t>
      </w:r>
    </w:p>
    <w:p>
      <w:pPr>
        <w:bidi w:val="0"/>
        <w:rPr>
          <w:rFonts w:hint="eastAsia"/>
          <w:lang w:val="en-US" w:eastAsia="zh-CN"/>
        </w:rPr>
      </w:pPr>
      <w:r>
        <w:rPr>
          <w:rFonts w:hint="eastAsia"/>
          <w:lang w:val="en-US" w:eastAsia="zh-CN"/>
        </w:rPr>
        <w:t xml:space="preserve">Besides, companies discussed whether does the UE need to inform the selected sk-counter to the NW. Considering that the sk-counter list is provided by the MN, the MN can maintain the sk-counter list corresponding to each group and perform the same handling for the sk-counter selection as the UE (i.e. select the first entry in the list and remove the used sk-counter after generation of the SN key) when knowing the target candidate SN selected by the UE. </w:t>
      </w:r>
    </w:p>
    <w:p>
      <w:pPr>
        <w:bidi w:val="0"/>
        <w:rPr>
          <w:rFonts w:hint="eastAsia"/>
          <w:lang w:val="en-US" w:eastAsia="zh-CN"/>
        </w:rPr>
      </w:pPr>
      <w:r>
        <w:rPr>
          <w:rFonts w:hint="eastAsia"/>
          <w:lang w:val="en-US" w:eastAsia="zh-CN"/>
        </w:rPr>
        <w:t xml:space="preserve">Thus, the MN is only required to know which candidate SN is selected by the UE, which has been implemented by including the selected candidate PSCell information (i.e. condReconfigId) in the RRCReconfigurationComplete message to the MN upon CPAC execution. </w:t>
      </w:r>
    </w:p>
    <w:p>
      <w:pPr>
        <w:pStyle w:val="17"/>
        <w:bidi w:val="0"/>
        <w:rPr>
          <w:rFonts w:hint="default"/>
          <w:lang w:val="en-US" w:eastAsia="zh-CN"/>
        </w:rPr>
      </w:pPr>
      <w:r>
        <w:rPr>
          <w:rFonts w:hint="eastAsia"/>
          <w:lang w:val="en-US" w:eastAsia="zh-CN"/>
        </w:rPr>
        <w:t>Upon CPAC execution, the MN can identify which candidate SN is selected by the UE via the selected candidate PSCell information (i.e. condReconfigId) in the RRCReconfigurationComplete message.</w:t>
      </w:r>
    </w:p>
    <w:p>
      <w:pPr>
        <w:bidi w:val="0"/>
        <w:rPr>
          <w:rFonts w:hint="default"/>
          <w:lang w:val="en-US" w:eastAsia="zh-CN"/>
        </w:rPr>
      </w:pPr>
      <w:r>
        <w:rPr>
          <w:rFonts w:hint="eastAsia"/>
          <w:lang w:val="en-US" w:eastAsia="zh-CN"/>
        </w:rPr>
        <w:t xml:space="preserve">So there is no need to explicitly indicate the selected sk-counter value to the NW. And no mis-synchronization will be caused if the MN and the UE handle the selected sk-counter with the same behaviour. </w:t>
      </w:r>
    </w:p>
    <w:p>
      <w:pPr>
        <w:pStyle w:val="18"/>
        <w:bidi w:val="0"/>
        <w:rPr>
          <w:rFonts w:hint="default"/>
          <w:lang w:val="en-US" w:eastAsia="zh-CN"/>
        </w:rPr>
      </w:pPr>
      <w:r>
        <w:rPr>
          <w:rFonts w:hint="eastAsia"/>
          <w:lang w:val="en-US" w:eastAsia="zh-CN"/>
        </w:rPr>
        <w:t>RAN2 assumes that the UE is not required to inform the selected sk-counter value to the NW at SCPAC execution, since the MN and the UE can follow the same rule to select the sk-counter for the security key update.</w:t>
      </w:r>
    </w:p>
    <w:p>
      <w:pPr>
        <w:bidi w:val="0"/>
        <w:rPr>
          <w:rFonts w:hint="eastAsia"/>
          <w:lang w:val="en-US" w:eastAsia="zh-CN"/>
        </w:rPr>
      </w:pPr>
      <w:r>
        <w:rPr>
          <w:rFonts w:hint="eastAsia"/>
          <w:lang w:val="en-US" w:eastAsia="zh-CN"/>
        </w:rPr>
        <w:t xml:space="preserve">If the MN identifies the target candidate PSCell belongs to different cell group than the current serving PSCell, the MN shall derive the SN key based on the first sk-counter from the sk-counter list associated with the target candidate PSCell. And then the MN can transfer the generated SN key to the target candidate SN. </w:t>
      </w:r>
    </w:p>
    <w:p>
      <w:pPr>
        <w:pStyle w:val="18"/>
        <w:bidi w:val="0"/>
        <w:rPr>
          <w:rFonts w:hint="default"/>
          <w:lang w:val="en-US" w:eastAsia="zh-CN"/>
        </w:rPr>
      </w:pPr>
      <w:r>
        <w:rPr>
          <w:rFonts w:hint="eastAsia"/>
          <w:lang w:val="en-US" w:eastAsia="zh-CN"/>
        </w:rPr>
        <w:t>Upon reception of RRC complete message for SCPAC execution, if the MN identifies the target candidate PSCell belongs to different cell group than the current serving PSCell, the MN shall derive the new SN key following the same rule as UE. And the MN informs the generated SN key to the target candidate SN.</w:t>
      </w:r>
    </w:p>
    <w:p>
      <w:pPr>
        <w:bidi w:val="0"/>
        <w:rPr>
          <w:rFonts w:hint="default"/>
          <w:lang w:val="en-US" w:eastAsia="zh-CN"/>
        </w:rPr>
      </w:pPr>
      <w:r>
        <w:rPr>
          <w:rFonts w:hint="eastAsia"/>
          <w:lang w:val="en-US" w:eastAsia="zh-CN"/>
        </w:rPr>
        <w:t>In addition, the scenario where UE does not have sk-counter to use at the time of SCPAC execution was proposed in the email discussion. In our understanding, the NW can identify whether there are remaining unused sk-counters associated with each cell group each time after SCPAC execution. So the NW can provide new sk-counters to the UE before the valid sk-counters are consumed out. Thus, it can be up to the NW implementation to ensure there are valid sk-counters for SCPAC execution.</w:t>
      </w:r>
    </w:p>
    <w:p>
      <w:pPr>
        <w:pStyle w:val="18"/>
        <w:bidi w:val="0"/>
        <w:rPr>
          <w:rFonts w:hint="default"/>
          <w:lang w:val="en-US" w:eastAsia="zh-CN"/>
        </w:rPr>
      </w:pPr>
      <w:r>
        <w:rPr>
          <w:rFonts w:hint="eastAsia"/>
          <w:lang w:val="en-US" w:eastAsia="zh-CN"/>
        </w:rPr>
        <w:t>It can be up to the NW implementation to ensure there are valid sk-counters to be used for SCPAC execution.</w:t>
      </w: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discussed </w:t>
      </w:r>
      <w:r>
        <w:rPr>
          <w:rFonts w:hint="eastAsia" w:eastAsia="宋体"/>
          <w:bCs/>
          <w:szCs w:val="21"/>
          <w:lang w:val="en-US" w:eastAsia="zh-CN"/>
        </w:rPr>
        <w:t>remaining issues on subsequent CPAC</w:t>
      </w:r>
      <w:r>
        <w:rPr>
          <w:rFonts w:hint="eastAsia" w:eastAsia="宋体"/>
          <w:bCs/>
          <w:szCs w:val="21"/>
        </w:rPr>
        <w:t xml:space="preserve"> with the following observations and proposals:</w:t>
      </w:r>
    </w:p>
    <w:p>
      <w:pPr>
        <w:pStyle w:val="10"/>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From RAN2 perspective, the intra-SN SCPAC and inter-SN SCPAC can be configured simultaneously.</w:t>
      </w:r>
    </w:p>
    <w:p>
      <w:pPr>
        <w:pStyle w:val="10"/>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The type of intra-SN SCPAC candidates and inter-SN SCPAC candidates could be changed due to the SCPAC execution. The execution of inter-SN SCPAC may cause the intra-SN SCPAC configuration in SN format becomes invalid since the the current UE</w:t>
      </w:r>
      <w:r>
        <w:rPr>
          <w:rFonts w:hint="default"/>
          <w:lang w:val="en-US" w:eastAsia="zh-CN"/>
        </w:rPr>
        <w:t>’</w:t>
      </w:r>
      <w:r>
        <w:rPr>
          <w:rFonts w:hint="eastAsia"/>
          <w:lang w:val="en-US" w:eastAsia="zh-CN"/>
        </w:rPr>
        <w:t>s MCG-part configuration may be reconfigured.</w:t>
      </w:r>
    </w:p>
    <w:p>
      <w:pPr>
        <w:pStyle w:val="10"/>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The intra-SN SCPAC configuration in SN format needs to be released or modified due to the execution of inter-SN SCPAC. An additional inter-node coordination between the MN and the source SN shall be required for the release or modification.</w:t>
      </w:r>
    </w:p>
    <w:p>
      <w:pPr>
        <w:pStyle w:val="10"/>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Upon CPAC execution, the MN can identify which candidate SN is selected by the UE via the selected candidate PSCell information (i.e. condReconfigId) in the RRCReconfigurationComplete message.</w:t>
      </w:r>
    </w:p>
    <w:p>
      <w:pPr>
        <w:spacing w:before="120" w:after="120"/>
      </w:pPr>
      <w:r>
        <w:fldChar w:fldCharType="end"/>
      </w:r>
    </w:p>
    <w:p>
      <w:pPr>
        <w:bidi w:val="0"/>
        <w:rPr>
          <w:b/>
          <w:bCs/>
          <w:i w:val="0"/>
          <w:iCs w:val="0"/>
          <w:color w:val="0070C0"/>
        </w:rPr>
      </w:pPr>
      <w:r>
        <w:rPr>
          <w:rFonts w:hint="eastAsia"/>
          <w:b/>
          <w:bCs/>
          <w:i w:val="0"/>
          <w:iCs w:val="0"/>
          <w:color w:val="0070C0"/>
          <w:lang w:val="en-US" w:eastAsia="zh-CN"/>
        </w:rPr>
        <w:t>R</w:t>
      </w:r>
      <w:r>
        <w:rPr>
          <w:rFonts w:hint="eastAsia" w:ascii="Times New Roman" w:eastAsia="Times New Roman"/>
          <w:b/>
          <w:bCs/>
          <w:i w:val="0"/>
          <w:iCs w:val="0"/>
          <w:color w:val="0070C0"/>
          <w:lang w:val="en-US" w:eastAsia="zh-CN"/>
        </w:rPr>
        <w:t>eference and candidate cell configuration</w:t>
      </w:r>
    </w:p>
    <w:p>
      <w:pPr>
        <w:pStyle w:val="10"/>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O</w:t>
      </w:r>
      <w:r>
        <w:rPr>
          <w:rFonts w:hint="default"/>
          <w:i w:val="0"/>
          <w:iCs w:val="0"/>
          <w:lang w:val="en-US" w:eastAsia="zh-CN"/>
        </w:rPr>
        <w:t xml:space="preserve">nly one reference configuration </w:t>
      </w:r>
      <w:r>
        <w:rPr>
          <w:rFonts w:hint="eastAsia"/>
          <w:i w:val="0"/>
          <w:iCs w:val="0"/>
          <w:lang w:val="en-US" w:eastAsia="zh-CN"/>
        </w:rPr>
        <w:t xml:space="preserve">is supported </w:t>
      </w:r>
      <w:r>
        <w:rPr>
          <w:rFonts w:hint="default"/>
          <w:i w:val="0"/>
          <w:iCs w:val="0"/>
          <w:lang w:val="en-US" w:eastAsia="zh-CN"/>
        </w:rPr>
        <w:t xml:space="preserve">for </w:t>
      </w:r>
      <w:r>
        <w:rPr>
          <w:rFonts w:hint="eastAsia"/>
          <w:i w:val="0"/>
          <w:iCs w:val="0"/>
          <w:lang w:val="en-US" w:eastAsia="zh-CN"/>
        </w:rPr>
        <w:t xml:space="preserve">both </w:t>
      </w:r>
      <w:r>
        <w:rPr>
          <w:rFonts w:hint="default"/>
          <w:i w:val="0"/>
          <w:iCs w:val="0"/>
          <w:lang w:val="en-US" w:eastAsia="zh-CN"/>
        </w:rPr>
        <w:t>MN/SN initiated inter-SN SCPAC and SN-initiated intra-SN SCPAC.</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RAN2 to support configuring intra-SN SCPAC in MN format, e.g. when intra-SN SCPAC and inter-SN SCPAC are configured simultaneously.</w:t>
      </w:r>
    </w:p>
    <w:p>
      <w:pPr>
        <w:pStyle w:val="10"/>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If only intra-SN SCPAC is configured, the intra-SN SCPAC can be configured in SN format.</w:t>
      </w:r>
    </w:p>
    <w:p>
      <w:pPr>
        <w:bidi w:val="0"/>
        <w:rPr>
          <w:rFonts w:hint="eastAsia"/>
          <w:b/>
          <w:bCs/>
          <w:i w:val="0"/>
          <w:iCs w:val="0"/>
          <w:color w:val="0070C0"/>
          <w:lang w:val="en-US" w:eastAsia="zh-CN"/>
        </w:rPr>
      </w:pPr>
      <w:r>
        <w:rPr>
          <w:rFonts w:hint="eastAsia"/>
          <w:b/>
          <w:bCs/>
          <w:i w:val="0"/>
          <w:iCs w:val="0"/>
          <w:color w:val="0070C0"/>
          <w:lang w:val="en-US" w:eastAsia="zh-CN"/>
        </w:rPr>
        <w:t>Handling on SCG failure</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Upon SCG failure, the existing SCG failure information procedure shall be initiated even if the SCPAC is configured, i.e. no enhancement on the existing SCG failure handling.</w:t>
      </w:r>
    </w:p>
    <w:p>
      <w:pPr>
        <w:pStyle w:val="10"/>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Upon initiating the SCG failure information procedure, the UE shall stop the evaluation for SCPAC but maintain the SCPAC related configuration.</w:t>
      </w:r>
    </w:p>
    <w:p>
      <w:pPr>
        <w:bidi w:val="0"/>
        <w:rPr>
          <w:rFonts w:hint="eastAsia"/>
          <w:b/>
          <w:bCs/>
          <w:i w:val="0"/>
          <w:iCs w:val="0"/>
          <w:color w:val="0070C0"/>
          <w:lang w:val="en-US" w:eastAsia="zh-CN"/>
        </w:rPr>
      </w:pPr>
      <w:r>
        <w:rPr>
          <w:rFonts w:hint="eastAsia"/>
          <w:b/>
          <w:bCs/>
          <w:i w:val="0"/>
          <w:iCs w:val="0"/>
          <w:color w:val="0070C0"/>
          <w:lang w:val="en-US" w:eastAsia="zh-CN"/>
        </w:rPr>
        <w:t>Security update</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Upon SCPAC execution, if the target candidate PSCell belongs to different cell group than the current serving PSCell, the UE selects the first sk-counter from the sk-counter list associated with the target candidate PSCell to derive the new security key.</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The UE removes the selected sk-counter from the corresponding sk-counter list after generation of the new security key.</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RAN2 assumes that the UE is not required to inform the selected sk-counter value to the NW at SCPAC execution, since the MN and the UE can follow the same rule to select the sk-counter for the security key update.</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Upon reception of RRC complete message for SCPAC execution, if the MN identifies the target candidate PSCell belongs to different cell group than the current serving PSCell, the MN shall derive the new SN key following the same rule as UE. And the MN informs the generated SN key to the target candidate SN.</w:t>
      </w:r>
    </w:p>
    <w:p>
      <w:pPr>
        <w:pStyle w:val="10"/>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It can be up to the NW implementation to ensure there are valid sk-counters to be used for SCPAC execution.</w:t>
      </w:r>
    </w:p>
    <w:p>
      <w:pPr>
        <w:spacing w:before="120" w:after="120"/>
        <w:jc w:val="both"/>
      </w:pPr>
      <w:r>
        <w:rPr>
          <w:bCs w:val="0"/>
          <w:i w:val="0"/>
          <w:iCs w:val="0"/>
        </w:rPr>
        <w:fldChar w:fldCharType="end"/>
      </w:r>
    </w:p>
    <w:p>
      <w:pPr>
        <w:pStyle w:val="2"/>
        <w:spacing w:before="120" w:after="120"/>
        <w:jc w:val="both"/>
        <w:rPr>
          <w:rFonts w:eastAsia="宋体"/>
        </w:rPr>
      </w:pPr>
      <w:r>
        <w:rPr>
          <w:rFonts w:hint="eastAsia" w:eastAsia="宋体"/>
        </w:rPr>
        <w:t>Reference</w:t>
      </w:r>
      <w:r>
        <w:rPr>
          <w:rFonts w:eastAsia="宋体"/>
        </w:rPr>
        <w:t>s</w:t>
      </w:r>
    </w:p>
    <w:p>
      <w:pPr>
        <w:pStyle w:val="23"/>
        <w:spacing w:before="120" w:after="120"/>
        <w:ind w:left="363" w:hanging="363"/>
        <w:jc w:val="both"/>
        <w:rPr>
          <w:szCs w:val="20"/>
        </w:rPr>
      </w:pPr>
      <w:bookmarkStart w:id="3" w:name="_Ref17466"/>
      <w:r>
        <w:rPr>
          <w:rFonts w:hint="eastAsia"/>
        </w:rPr>
        <w:t>R</w:t>
      </w:r>
      <w:r>
        <w:t>AN2#1</w:t>
      </w:r>
      <w:r>
        <w:rPr>
          <w:rFonts w:hint="eastAsia"/>
          <w:lang w:val="en-US" w:eastAsia="zh-CN"/>
        </w:rPr>
        <w:t>22</w:t>
      </w:r>
      <w:r>
        <w:t xml:space="preserve"> </w:t>
      </w:r>
      <w:r>
        <w:rPr>
          <w:rFonts w:hint="eastAsia"/>
        </w:rPr>
        <w:t>C</w:t>
      </w:r>
      <w:r>
        <w:t xml:space="preserve">hair </w:t>
      </w:r>
      <w:r>
        <w:rPr>
          <w:rFonts w:hint="eastAsia"/>
        </w:rPr>
        <w:t>N</w:t>
      </w:r>
      <w:r>
        <w:t>otes</w:t>
      </w:r>
    </w:p>
    <w:p>
      <w:pPr>
        <w:pStyle w:val="23"/>
        <w:spacing w:before="120" w:after="120"/>
        <w:ind w:left="363" w:hanging="363"/>
        <w:jc w:val="both"/>
        <w:rPr>
          <w:szCs w:val="20"/>
        </w:rPr>
      </w:pPr>
      <w:r>
        <w:rPr>
          <w:rFonts w:hint="eastAsia"/>
          <w:szCs w:val="20"/>
        </w:rPr>
        <w:t xml:space="preserve">R2-2309831 </w:t>
      </w:r>
      <w:r>
        <w:rPr>
          <w:rFonts w:hint="eastAsia" w:eastAsia="宋体"/>
          <w:szCs w:val="20"/>
          <w:lang w:val="en-US" w:eastAsia="zh-CN"/>
        </w:rPr>
        <w:t xml:space="preserve"> </w:t>
      </w:r>
      <w:bookmarkStart w:id="4" w:name="_GoBack"/>
      <w:bookmarkEnd w:id="4"/>
      <w:r>
        <w:rPr>
          <w:rFonts w:hint="eastAsia"/>
          <w:szCs w:val="20"/>
        </w:rPr>
        <w:t>Summary of [Post123][054][feMob] Discussion on stage-2 signalling open issues</w:t>
      </w:r>
      <w:r>
        <w:rPr>
          <w:rFonts w:hint="eastAsia" w:eastAsia="宋体"/>
          <w:szCs w:val="20"/>
          <w:lang w:val="en-US" w:eastAsia="zh-CN"/>
        </w:rPr>
        <w:t xml:space="preserve">  ZTE Corporation, Sanechips</w:t>
      </w:r>
    </w:p>
    <w:p>
      <w:pPr>
        <w:pStyle w:val="23"/>
        <w:spacing w:before="120" w:after="120"/>
        <w:ind w:left="363" w:hanging="363"/>
        <w:jc w:val="both"/>
        <w:rPr>
          <w:szCs w:val="20"/>
        </w:rPr>
      </w:pPr>
      <w:r>
        <w:rPr>
          <w:rFonts w:hint="eastAsia" w:eastAsia="宋体"/>
          <w:szCs w:val="20"/>
          <w:lang w:val="en-US" w:eastAsia="zh-CN"/>
        </w:rPr>
        <w:t>R2-230xxxx   [Post123][046][feMob] subsequent CPAC security (Nokia)  Nokia</w:t>
      </w:r>
    </w:p>
    <w:p>
      <w:pPr>
        <w:pStyle w:val="23"/>
        <w:numPr>
          <w:ilvl w:val="0"/>
          <w:numId w:val="0"/>
        </w:numPr>
        <w:spacing w:before="120" w:after="120"/>
        <w:ind w:leftChars="0"/>
        <w:jc w:val="both"/>
        <w:rPr>
          <w:szCs w:val="20"/>
        </w:rPr>
      </w:pPr>
    </w:p>
    <w:bookmarkEnd w:id="3"/>
    <w:p>
      <w:pPr>
        <w:spacing w:before="120" w:after="120"/>
        <w:jc w:val="both"/>
      </w:pPr>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multilevel"/>
    <w:tmpl w:val="B15F0BA4"/>
    <w:lvl w:ilvl="0" w:tentative="0">
      <w:start w:val="1"/>
      <w:numFmt w:val="bullet"/>
      <w:pStyle w:val="21"/>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3A877D64"/>
    <w:multiLevelType w:val="singleLevel"/>
    <w:tmpl w:val="3A877D64"/>
    <w:lvl w:ilvl="0" w:tentative="0">
      <w:start w:val="1"/>
      <w:numFmt w:val="decimal"/>
      <w:pStyle w:val="23"/>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2"/>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18"/>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F026382"/>
    <w:multiLevelType w:val="multilevel"/>
    <w:tmpl w:val="6F026382"/>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10F9F"/>
    <w:multiLevelType w:val="multilevel"/>
    <w:tmpl w:val="70110F9F"/>
    <w:lvl w:ilvl="0" w:tentative="0">
      <w:start w:val="1"/>
      <w:numFmt w:val="decimal"/>
      <w:pStyle w:val="17"/>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8DE36B0"/>
    <w:multiLevelType w:val="multilevel"/>
    <w:tmpl w:val="78DE36B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7DC436CD"/>
    <w:multiLevelType w:val="singleLevel"/>
    <w:tmpl w:val="7DC436CD"/>
    <w:lvl w:ilvl="0" w:tentative="0">
      <w:start w:val="1"/>
      <w:numFmt w:val="bullet"/>
      <w:pStyle w:val="19"/>
      <w:lvlText w:val="•"/>
      <w:lvlJc w:val="left"/>
      <w:pPr>
        <w:tabs>
          <w:tab w:val="left" w:pos="420"/>
        </w:tabs>
        <w:ind w:left="420" w:hanging="378"/>
      </w:pPr>
      <w:rPr>
        <w:rFonts w:hint="default" w:ascii="Arial" w:hAnsi="Arial" w:cs="Arial"/>
      </w:rPr>
    </w:lvl>
  </w:abstractNum>
  <w:num w:numId="1">
    <w:abstractNumId w:val="2"/>
  </w:num>
  <w:num w:numId="2">
    <w:abstractNumId w:val="6"/>
  </w:num>
  <w:num w:numId="3">
    <w:abstractNumId w:val="4"/>
  </w:num>
  <w:num w:numId="4">
    <w:abstractNumId w:val="9"/>
  </w:num>
  <w:num w:numId="5">
    <w:abstractNumId w:val="0"/>
  </w:num>
  <w:num w:numId="6">
    <w:abstractNumId w:val="3"/>
  </w:num>
  <w:num w:numId="7">
    <w:abstractNumId w:val="1"/>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D551C"/>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91B"/>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3F35936"/>
    <w:rsid w:val="043168B5"/>
    <w:rsid w:val="049D525B"/>
    <w:rsid w:val="0555228E"/>
    <w:rsid w:val="05727AFD"/>
    <w:rsid w:val="059D1E39"/>
    <w:rsid w:val="05CD3A0B"/>
    <w:rsid w:val="05E078B3"/>
    <w:rsid w:val="068F51B9"/>
    <w:rsid w:val="077D0583"/>
    <w:rsid w:val="079724D0"/>
    <w:rsid w:val="082A352F"/>
    <w:rsid w:val="08C349D1"/>
    <w:rsid w:val="08FD1F99"/>
    <w:rsid w:val="09532662"/>
    <w:rsid w:val="09F67CD5"/>
    <w:rsid w:val="0AC167FE"/>
    <w:rsid w:val="0B584155"/>
    <w:rsid w:val="0B9E71DF"/>
    <w:rsid w:val="0C9D30C2"/>
    <w:rsid w:val="0D4D48B3"/>
    <w:rsid w:val="0D9D65F4"/>
    <w:rsid w:val="0E172BD0"/>
    <w:rsid w:val="0EDF02B5"/>
    <w:rsid w:val="0F366DF1"/>
    <w:rsid w:val="10650D72"/>
    <w:rsid w:val="10936355"/>
    <w:rsid w:val="10A50104"/>
    <w:rsid w:val="115B3410"/>
    <w:rsid w:val="116570CB"/>
    <w:rsid w:val="119D7849"/>
    <w:rsid w:val="1242135C"/>
    <w:rsid w:val="13A1683F"/>
    <w:rsid w:val="14960C8D"/>
    <w:rsid w:val="14DA3DA1"/>
    <w:rsid w:val="17155857"/>
    <w:rsid w:val="172B15CC"/>
    <w:rsid w:val="1767617D"/>
    <w:rsid w:val="17950508"/>
    <w:rsid w:val="17AD7BB9"/>
    <w:rsid w:val="17D642C0"/>
    <w:rsid w:val="17F31B51"/>
    <w:rsid w:val="19010C43"/>
    <w:rsid w:val="19084C73"/>
    <w:rsid w:val="1A054259"/>
    <w:rsid w:val="1A273CC1"/>
    <w:rsid w:val="1AA20BEC"/>
    <w:rsid w:val="1B7F6005"/>
    <w:rsid w:val="1B906365"/>
    <w:rsid w:val="1B9D73EE"/>
    <w:rsid w:val="1C132CB9"/>
    <w:rsid w:val="1C8B493A"/>
    <w:rsid w:val="1CCC26CA"/>
    <w:rsid w:val="1D9A725A"/>
    <w:rsid w:val="1DB01F3B"/>
    <w:rsid w:val="1E056606"/>
    <w:rsid w:val="1E9D6342"/>
    <w:rsid w:val="1F4279FE"/>
    <w:rsid w:val="204E6676"/>
    <w:rsid w:val="2195668B"/>
    <w:rsid w:val="21BE5AD4"/>
    <w:rsid w:val="21BF3022"/>
    <w:rsid w:val="23081A49"/>
    <w:rsid w:val="2334383D"/>
    <w:rsid w:val="235166EB"/>
    <w:rsid w:val="23CE335E"/>
    <w:rsid w:val="23E5477D"/>
    <w:rsid w:val="245C52F8"/>
    <w:rsid w:val="245E7FA0"/>
    <w:rsid w:val="2463385E"/>
    <w:rsid w:val="24A83DD0"/>
    <w:rsid w:val="250D568B"/>
    <w:rsid w:val="25134332"/>
    <w:rsid w:val="25602723"/>
    <w:rsid w:val="257E508F"/>
    <w:rsid w:val="25D2255C"/>
    <w:rsid w:val="26BF5712"/>
    <w:rsid w:val="27AB7429"/>
    <w:rsid w:val="285C053E"/>
    <w:rsid w:val="28961286"/>
    <w:rsid w:val="29FA7F26"/>
    <w:rsid w:val="2A0F29F0"/>
    <w:rsid w:val="2B774832"/>
    <w:rsid w:val="2C3E7B79"/>
    <w:rsid w:val="2C946521"/>
    <w:rsid w:val="2CDE11E4"/>
    <w:rsid w:val="2D6142DD"/>
    <w:rsid w:val="2E036116"/>
    <w:rsid w:val="2E305203"/>
    <w:rsid w:val="2ECA0884"/>
    <w:rsid w:val="2F046809"/>
    <w:rsid w:val="2F1251F2"/>
    <w:rsid w:val="2FBC7B6B"/>
    <w:rsid w:val="308333E5"/>
    <w:rsid w:val="30962F3E"/>
    <w:rsid w:val="30D17E68"/>
    <w:rsid w:val="30FF2795"/>
    <w:rsid w:val="31467844"/>
    <w:rsid w:val="31640D99"/>
    <w:rsid w:val="31987C8B"/>
    <w:rsid w:val="329A6ACE"/>
    <w:rsid w:val="33607071"/>
    <w:rsid w:val="339618AC"/>
    <w:rsid w:val="33A835D8"/>
    <w:rsid w:val="350B2B88"/>
    <w:rsid w:val="35181EED"/>
    <w:rsid w:val="35281EC5"/>
    <w:rsid w:val="35EB3B29"/>
    <w:rsid w:val="360B1D73"/>
    <w:rsid w:val="361F3323"/>
    <w:rsid w:val="36931297"/>
    <w:rsid w:val="36E93760"/>
    <w:rsid w:val="377E620D"/>
    <w:rsid w:val="3784394E"/>
    <w:rsid w:val="38AE3BB0"/>
    <w:rsid w:val="3A5370DD"/>
    <w:rsid w:val="3AC71DA2"/>
    <w:rsid w:val="3ACB5746"/>
    <w:rsid w:val="3BB20883"/>
    <w:rsid w:val="3BEC7555"/>
    <w:rsid w:val="3C020A09"/>
    <w:rsid w:val="3C935077"/>
    <w:rsid w:val="3CCC3EC3"/>
    <w:rsid w:val="3CD06756"/>
    <w:rsid w:val="3DA8275C"/>
    <w:rsid w:val="3E441C7D"/>
    <w:rsid w:val="3F9669D4"/>
    <w:rsid w:val="3FC956FF"/>
    <w:rsid w:val="40A36A71"/>
    <w:rsid w:val="410E4736"/>
    <w:rsid w:val="41D3631F"/>
    <w:rsid w:val="41F466FD"/>
    <w:rsid w:val="422B3F68"/>
    <w:rsid w:val="42A67A24"/>
    <w:rsid w:val="42D846B9"/>
    <w:rsid w:val="430D7A82"/>
    <w:rsid w:val="43A55B32"/>
    <w:rsid w:val="440D5045"/>
    <w:rsid w:val="44EF3138"/>
    <w:rsid w:val="44F3408E"/>
    <w:rsid w:val="45BE6191"/>
    <w:rsid w:val="460C5979"/>
    <w:rsid w:val="47C01792"/>
    <w:rsid w:val="4808150F"/>
    <w:rsid w:val="4844674D"/>
    <w:rsid w:val="49E9233D"/>
    <w:rsid w:val="4A3610BC"/>
    <w:rsid w:val="4A42266B"/>
    <w:rsid w:val="4AAD1944"/>
    <w:rsid w:val="4AC31003"/>
    <w:rsid w:val="4AE93159"/>
    <w:rsid w:val="4BD0339A"/>
    <w:rsid w:val="4D1812D1"/>
    <w:rsid w:val="4D462159"/>
    <w:rsid w:val="4D5C5FAC"/>
    <w:rsid w:val="4DB66A19"/>
    <w:rsid w:val="4DC605B6"/>
    <w:rsid w:val="4DEC0985"/>
    <w:rsid w:val="4DF5606D"/>
    <w:rsid w:val="4E27683A"/>
    <w:rsid w:val="4F2765B1"/>
    <w:rsid w:val="4F285975"/>
    <w:rsid w:val="4F7E60C6"/>
    <w:rsid w:val="4FF85273"/>
    <w:rsid w:val="51796EDE"/>
    <w:rsid w:val="51867298"/>
    <w:rsid w:val="51AC0F10"/>
    <w:rsid w:val="52195EDF"/>
    <w:rsid w:val="52313387"/>
    <w:rsid w:val="529F0593"/>
    <w:rsid w:val="52E04D27"/>
    <w:rsid w:val="535D521D"/>
    <w:rsid w:val="53690BA9"/>
    <w:rsid w:val="539A390F"/>
    <w:rsid w:val="53C6197D"/>
    <w:rsid w:val="53CF14EE"/>
    <w:rsid w:val="53DB3477"/>
    <w:rsid w:val="54AF6B42"/>
    <w:rsid w:val="54DC23A0"/>
    <w:rsid w:val="5500035A"/>
    <w:rsid w:val="55DD6F2A"/>
    <w:rsid w:val="56E23970"/>
    <w:rsid w:val="57155486"/>
    <w:rsid w:val="577A3C7D"/>
    <w:rsid w:val="578F220A"/>
    <w:rsid w:val="57FC07D9"/>
    <w:rsid w:val="58500F22"/>
    <w:rsid w:val="591C0009"/>
    <w:rsid w:val="598811FD"/>
    <w:rsid w:val="5ACF0F3A"/>
    <w:rsid w:val="5C6B1600"/>
    <w:rsid w:val="5C921AD0"/>
    <w:rsid w:val="5DFD51DB"/>
    <w:rsid w:val="5E0D36E5"/>
    <w:rsid w:val="5E7F7360"/>
    <w:rsid w:val="5EB903DA"/>
    <w:rsid w:val="5F2D7313"/>
    <w:rsid w:val="5FF53D41"/>
    <w:rsid w:val="60140907"/>
    <w:rsid w:val="607C3753"/>
    <w:rsid w:val="60C30855"/>
    <w:rsid w:val="61421EFD"/>
    <w:rsid w:val="615C5041"/>
    <w:rsid w:val="636F17AB"/>
    <w:rsid w:val="64934878"/>
    <w:rsid w:val="65752AF3"/>
    <w:rsid w:val="662979FE"/>
    <w:rsid w:val="664805B8"/>
    <w:rsid w:val="665216C9"/>
    <w:rsid w:val="665C1CEC"/>
    <w:rsid w:val="67225898"/>
    <w:rsid w:val="67723DB4"/>
    <w:rsid w:val="68CB171E"/>
    <w:rsid w:val="690F418B"/>
    <w:rsid w:val="69FB7936"/>
    <w:rsid w:val="6A154B1E"/>
    <w:rsid w:val="6A7A2736"/>
    <w:rsid w:val="6A7B4B9C"/>
    <w:rsid w:val="6B0602A2"/>
    <w:rsid w:val="6C89456C"/>
    <w:rsid w:val="6D663271"/>
    <w:rsid w:val="6EF2462D"/>
    <w:rsid w:val="6F901B66"/>
    <w:rsid w:val="6FA629D4"/>
    <w:rsid w:val="6FC05247"/>
    <w:rsid w:val="6FD10552"/>
    <w:rsid w:val="7068615B"/>
    <w:rsid w:val="7094701E"/>
    <w:rsid w:val="70BB2EF0"/>
    <w:rsid w:val="70BE61B8"/>
    <w:rsid w:val="71015B3E"/>
    <w:rsid w:val="73414765"/>
    <w:rsid w:val="73455C21"/>
    <w:rsid w:val="73D425F7"/>
    <w:rsid w:val="750A2023"/>
    <w:rsid w:val="7676736A"/>
    <w:rsid w:val="76933951"/>
    <w:rsid w:val="76FA3873"/>
    <w:rsid w:val="771D661B"/>
    <w:rsid w:val="771F7714"/>
    <w:rsid w:val="77317864"/>
    <w:rsid w:val="777E145F"/>
    <w:rsid w:val="78782A0D"/>
    <w:rsid w:val="793A3181"/>
    <w:rsid w:val="796F5EE4"/>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46"/>
    <w:qFormat/>
    <w:uiPriority w:val="0"/>
    <w:pPr>
      <w:numPr>
        <w:ilvl w:val="2"/>
      </w:numPr>
      <w:outlineLvl w:val="2"/>
    </w:pPr>
    <w:rPr>
      <w:rFonts w:eastAsia="宋体"/>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qFormat/>
    <w:uiPriority w:val="0"/>
    <w:pPr>
      <w:spacing w:after="120"/>
      <w:jc w:val="both"/>
    </w:pPr>
    <w:rPr>
      <w:rFonts w:ascii="Arial" w:hAnsi="Arial"/>
      <w:lang w:eastAsia="zh-CN"/>
    </w:rPr>
  </w:style>
  <w:style w:type="paragraph" w:styleId="7">
    <w:name w:val="toc 3"/>
    <w:basedOn w:val="1"/>
    <w:next w:val="1"/>
    <w:link w:val="34"/>
    <w:unhideWhenUsed/>
    <w:qFormat/>
    <w:uiPriority w:val="39"/>
    <w:pPr>
      <w:ind w:left="880" w:leftChars="400"/>
    </w:pPr>
    <w:rPr>
      <w:b/>
      <w:i/>
    </w:rPr>
  </w:style>
  <w:style w:type="paragraph" w:styleId="8">
    <w:name w:val="footer"/>
    <w:link w:val="41"/>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9">
    <w:name w:val="header"/>
    <w:link w:val="25"/>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0">
    <w:name w:val="toc 1"/>
    <w:basedOn w:val="1"/>
    <w:next w:val="1"/>
    <w:link w:val="28"/>
    <w:unhideWhenUsed/>
    <w:qFormat/>
    <w:uiPriority w:val="39"/>
    <w:rPr>
      <w:b/>
      <w:i/>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link w:val="31"/>
    <w:unhideWhenUsed/>
    <w:qFormat/>
    <w:uiPriority w:val="39"/>
    <w:pPr>
      <w:snapToGrid w:val="0"/>
      <w:ind w:left="618" w:leftChars="200"/>
    </w:pPr>
    <w:rPr>
      <w:b/>
      <w:i/>
    </w:rPr>
  </w:style>
  <w:style w:type="table" w:styleId="14">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7">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8">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9">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0">
    <w:name w:val="sub-observation"/>
    <w:basedOn w:val="19"/>
    <w:qFormat/>
    <w:uiPriority w:val="0"/>
  </w:style>
  <w:style w:type="paragraph" w:customStyle="1" w:styleId="21">
    <w:name w:val="3rd level proposal"/>
    <w:basedOn w:val="19"/>
    <w:qFormat/>
    <w:uiPriority w:val="0"/>
    <w:pPr>
      <w:numPr>
        <w:ilvl w:val="0"/>
        <w:numId w:val="5"/>
      </w:numPr>
      <w:ind w:left="1199" w:leftChars="496" w:hanging="207" w:hangingChars="103"/>
    </w:pPr>
  </w:style>
  <w:style w:type="paragraph" w:customStyle="1" w:styleId="22">
    <w:name w:val="3rd level observation"/>
    <w:basedOn w:val="20"/>
    <w:qFormat/>
    <w:uiPriority w:val="0"/>
    <w:pPr>
      <w:numPr>
        <w:ilvl w:val="0"/>
        <w:numId w:val="6"/>
      </w:numPr>
      <w:tabs>
        <w:tab w:val="left" w:pos="1134"/>
        <w:tab w:val="clear" w:pos="993"/>
      </w:tabs>
      <w:ind w:left="1131" w:leftChars="496" w:hanging="139" w:hangingChars="69"/>
    </w:pPr>
  </w:style>
  <w:style w:type="paragraph" w:customStyle="1" w:styleId="23">
    <w:name w:val="References"/>
    <w:basedOn w:val="1"/>
    <w:qFormat/>
    <w:uiPriority w:val="0"/>
    <w:pPr>
      <w:numPr>
        <w:ilvl w:val="0"/>
        <w:numId w:val="7"/>
      </w:numPr>
      <w:spacing w:after="60"/>
    </w:pPr>
    <w:rPr>
      <w:szCs w:val="16"/>
    </w:rPr>
  </w:style>
  <w:style w:type="paragraph" w:styleId="24">
    <w:name w:val="List Paragraph"/>
    <w:basedOn w:val="1"/>
    <w:qFormat/>
    <w:uiPriority w:val="34"/>
    <w:pPr>
      <w:spacing w:beforeLines="0"/>
      <w:ind w:left="720"/>
      <w:contextualSpacing/>
    </w:pPr>
    <w:rPr>
      <w:sz w:val="24"/>
      <w:szCs w:val="24"/>
    </w:rPr>
  </w:style>
  <w:style w:type="character" w:customStyle="1" w:styleId="25">
    <w:name w:val="页眉 字符"/>
    <w:basedOn w:val="15"/>
    <w:link w:val="9"/>
    <w:qFormat/>
    <w:uiPriority w:val="99"/>
    <w:rPr>
      <w:rFonts w:eastAsia="Times New Roman"/>
      <w:kern w:val="2"/>
      <w:sz w:val="18"/>
      <w:szCs w:val="18"/>
    </w:rPr>
  </w:style>
  <w:style w:type="paragraph" w:customStyle="1" w:styleId="26">
    <w:name w:val="ZTE-C-proposal"/>
    <w:basedOn w:val="10"/>
    <w:link w:val="29"/>
    <w:qFormat/>
    <w:uiPriority w:val="0"/>
    <w:pPr>
      <w:spacing w:before="120" w:after="120"/>
      <w:ind w:left="1104" w:hanging="1104" w:hangingChars="550"/>
    </w:pPr>
  </w:style>
  <w:style w:type="paragraph" w:customStyle="1" w:styleId="27">
    <w:name w:val="ZTE-C-subProposal"/>
    <w:basedOn w:val="12"/>
    <w:link w:val="32"/>
    <w:qFormat/>
    <w:uiPriority w:val="0"/>
    <w:pPr>
      <w:tabs>
        <w:tab w:val="left" w:pos="993"/>
        <w:tab w:val="right" w:leader="dot" w:pos="9650"/>
      </w:tabs>
      <w:spacing w:before="120" w:after="120"/>
      <w:ind w:left="708" w:leftChars="354"/>
    </w:pPr>
  </w:style>
  <w:style w:type="character" w:customStyle="1" w:styleId="28">
    <w:name w:val="TOC 1 字符"/>
    <w:basedOn w:val="15"/>
    <w:link w:val="10"/>
    <w:qFormat/>
    <w:uiPriority w:val="39"/>
    <w:rPr>
      <w:rFonts w:eastAsia="Times New Roman"/>
      <w:b/>
      <w:i/>
      <w:kern w:val="2"/>
    </w:rPr>
  </w:style>
  <w:style w:type="character" w:customStyle="1" w:styleId="29">
    <w:name w:val="ZTE-C-proposal 字符"/>
    <w:basedOn w:val="28"/>
    <w:link w:val="26"/>
    <w:qFormat/>
    <w:uiPriority w:val="0"/>
    <w:rPr>
      <w:rFonts w:eastAsia="Times New Roman"/>
      <w:color w:val="000000"/>
      <w:kern w:val="2"/>
    </w:rPr>
  </w:style>
  <w:style w:type="paragraph" w:customStyle="1" w:styleId="30">
    <w:name w:val="ZTE-C-3rd level proposal"/>
    <w:basedOn w:val="7"/>
    <w:link w:val="35"/>
    <w:qFormat/>
    <w:uiPriority w:val="0"/>
    <w:pPr>
      <w:tabs>
        <w:tab w:val="left" w:pos="1276"/>
        <w:tab w:val="right" w:leader="dot" w:pos="9650"/>
      </w:tabs>
      <w:spacing w:before="120" w:after="120"/>
      <w:ind w:left="1134" w:leftChars="567"/>
    </w:pPr>
  </w:style>
  <w:style w:type="character" w:customStyle="1" w:styleId="31">
    <w:name w:val="TOC 2 字符"/>
    <w:basedOn w:val="15"/>
    <w:link w:val="12"/>
    <w:qFormat/>
    <w:uiPriority w:val="39"/>
    <w:rPr>
      <w:rFonts w:eastAsia="Times New Roman"/>
      <w:b/>
      <w:i/>
      <w:kern w:val="2"/>
    </w:rPr>
  </w:style>
  <w:style w:type="character" w:customStyle="1" w:styleId="32">
    <w:name w:val="ZTE-C-subProposal 字符"/>
    <w:basedOn w:val="31"/>
    <w:link w:val="27"/>
    <w:qFormat/>
    <w:uiPriority w:val="0"/>
    <w:rPr>
      <w:rFonts w:eastAsia="Times New Roman"/>
      <w:kern w:val="2"/>
    </w:rPr>
  </w:style>
  <w:style w:type="paragraph" w:customStyle="1" w:styleId="33">
    <w:name w:val="ZTE-C-Observation"/>
    <w:basedOn w:val="10"/>
    <w:link w:val="37"/>
    <w:qFormat/>
    <w:uiPriority w:val="0"/>
    <w:pPr>
      <w:tabs>
        <w:tab w:val="left" w:pos="1470"/>
        <w:tab w:val="right" w:pos="9650"/>
      </w:tabs>
      <w:spacing w:before="120" w:after="120"/>
      <w:ind w:left="1273" w:hanging="1273" w:hangingChars="634"/>
    </w:pPr>
  </w:style>
  <w:style w:type="character" w:customStyle="1" w:styleId="34">
    <w:name w:val="TOC 3 字符"/>
    <w:basedOn w:val="15"/>
    <w:link w:val="7"/>
    <w:qFormat/>
    <w:uiPriority w:val="39"/>
    <w:rPr>
      <w:rFonts w:eastAsia="Times New Roman"/>
      <w:b/>
      <w:i/>
      <w:kern w:val="2"/>
    </w:rPr>
  </w:style>
  <w:style w:type="character" w:customStyle="1" w:styleId="35">
    <w:name w:val="ZTE-C-3rd level proposal 字符"/>
    <w:basedOn w:val="34"/>
    <w:link w:val="30"/>
    <w:qFormat/>
    <w:uiPriority w:val="0"/>
    <w:rPr>
      <w:rFonts w:eastAsia="Times New Roman"/>
      <w:kern w:val="2"/>
    </w:rPr>
  </w:style>
  <w:style w:type="paragraph" w:customStyle="1" w:styleId="36">
    <w:name w:val="ZTE-C-sub-Observation"/>
    <w:basedOn w:val="12"/>
    <w:link w:val="39"/>
    <w:qFormat/>
    <w:uiPriority w:val="0"/>
    <w:pPr>
      <w:tabs>
        <w:tab w:val="left" w:pos="993"/>
        <w:tab w:val="right" w:pos="9650"/>
      </w:tabs>
      <w:spacing w:before="120" w:after="120"/>
      <w:ind w:left="850" w:leftChars="425"/>
    </w:pPr>
  </w:style>
  <w:style w:type="character" w:customStyle="1" w:styleId="37">
    <w:name w:val="ZTE-C-Observation 字符"/>
    <w:basedOn w:val="28"/>
    <w:link w:val="33"/>
    <w:qFormat/>
    <w:uiPriority w:val="0"/>
    <w:rPr>
      <w:rFonts w:eastAsia="Times New Roman"/>
      <w:kern w:val="2"/>
    </w:rPr>
  </w:style>
  <w:style w:type="paragraph" w:customStyle="1" w:styleId="38">
    <w:name w:val="ZTE-C-3rd level Observation"/>
    <w:basedOn w:val="7"/>
    <w:link w:val="40"/>
    <w:qFormat/>
    <w:uiPriority w:val="0"/>
    <w:pPr>
      <w:tabs>
        <w:tab w:val="left" w:pos="1260"/>
        <w:tab w:val="right" w:pos="9650"/>
      </w:tabs>
      <w:spacing w:before="120" w:after="120"/>
      <w:ind w:left="1134" w:leftChars="567"/>
    </w:pPr>
  </w:style>
  <w:style w:type="character" w:customStyle="1" w:styleId="39">
    <w:name w:val="ZTE-C-sub-Observation 字符"/>
    <w:basedOn w:val="31"/>
    <w:link w:val="36"/>
    <w:qFormat/>
    <w:uiPriority w:val="0"/>
    <w:rPr>
      <w:rFonts w:eastAsia="Times New Roman"/>
      <w:kern w:val="2"/>
    </w:rPr>
  </w:style>
  <w:style w:type="character" w:customStyle="1" w:styleId="40">
    <w:name w:val="ZTE-C-3rd level Observation 字符"/>
    <w:basedOn w:val="34"/>
    <w:link w:val="38"/>
    <w:qFormat/>
    <w:uiPriority w:val="0"/>
    <w:rPr>
      <w:rFonts w:eastAsia="Times New Roman"/>
      <w:kern w:val="2"/>
    </w:rPr>
  </w:style>
  <w:style w:type="character" w:customStyle="1" w:styleId="41">
    <w:name w:val="页脚 字符"/>
    <w:basedOn w:val="15"/>
    <w:link w:val="8"/>
    <w:qFormat/>
    <w:uiPriority w:val="99"/>
    <w:rPr>
      <w:rFonts w:eastAsia="Times New Roman"/>
      <w:kern w:val="2"/>
      <w:sz w:val="18"/>
      <w:szCs w:val="18"/>
    </w:rPr>
  </w:style>
  <w:style w:type="paragraph" w:customStyle="1" w:styleId="42">
    <w:name w:val="Agreement"/>
    <w:basedOn w:val="1"/>
    <w:next w:val="4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3">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4">
    <w:name w:val="NO"/>
    <w:basedOn w:val="1"/>
    <w:qFormat/>
    <w:uiPriority w:val="0"/>
    <w:pPr>
      <w:keepLines/>
      <w:ind w:left="1135" w:hanging="851"/>
    </w:pPr>
  </w:style>
  <w:style w:type="paragraph" w:customStyle="1" w:styleId="45">
    <w:name w:val="Editor's Note"/>
    <w:basedOn w:val="44"/>
    <w:qFormat/>
    <w:uiPriority w:val="0"/>
    <w:rPr>
      <w:color w:val="FF0000"/>
      <w:lang w:val="zh-CN" w:eastAsia="zh-CN"/>
    </w:rPr>
  </w:style>
  <w:style w:type="character" w:customStyle="1" w:styleId="46">
    <w:name w:val="Heading 3 Char"/>
    <w:link w:val="4"/>
    <w:qFormat/>
    <w:uiPriority w:val="0"/>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0</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2023-09-29T07:33:40Z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